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32" w:rsidRDefault="008418DF">
      <w:pPr>
        <w:snapToGrid w:val="0"/>
        <w:spacing w:after="180" w:line="520" w:lineRule="exact"/>
        <w:ind w:left="1281" w:hanging="1281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</w:rPr>
        <w:t>電機系與通訊系空間出借收費辦法</w:t>
      </w:r>
      <w:r>
        <w:rPr>
          <w:rFonts w:eastAsia="標楷體"/>
          <w:b/>
          <w:sz w:val="32"/>
          <w:szCs w:val="32"/>
        </w:rPr>
        <w:t>」部分條文修正對照表</w:t>
      </w:r>
    </w:p>
    <w:p w:rsidR="00E87532" w:rsidRDefault="008418DF">
      <w:pPr>
        <w:ind w:right="160" w:firstLine="26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學年度第二次空間委員會通過</w:t>
      </w:r>
    </w:p>
    <w:p w:rsidR="00E87532" w:rsidRDefault="008418DF">
      <w:pPr>
        <w:ind w:right="160" w:firstLine="26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日電機系與通訊系聯合系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會議通過</w:t>
      </w:r>
    </w:p>
    <w:tbl>
      <w:tblPr>
        <w:tblW w:w="1028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3458"/>
        <w:gridCol w:w="3828"/>
        <w:gridCol w:w="2516"/>
      </w:tblGrid>
      <w:tr w:rsidR="00E875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32" w:rsidRDefault="008418D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條文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532" w:rsidRDefault="008418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修正規定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532" w:rsidRDefault="008418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現行規定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532" w:rsidRDefault="008418D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說明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32" w:rsidRDefault="008418DF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第六條</w:t>
            </w:r>
          </w:p>
          <w:p w:rsidR="00E87532" w:rsidRDefault="00E87532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32" w:rsidRDefault="008418D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六、責任規定：</w:t>
            </w:r>
          </w:p>
          <w:p w:rsidR="00E87532" w:rsidRDefault="008418DF">
            <w:pPr>
              <w:numPr>
                <w:ilvl w:val="2"/>
                <w:numId w:val="1"/>
              </w:numPr>
              <w:snapToGrid w:val="0"/>
              <w:ind w:left="739"/>
              <w:rPr>
                <w:rFonts w:eastAsia="標楷體"/>
              </w:rPr>
            </w:pPr>
            <w:r>
              <w:rPr>
                <w:rFonts w:eastAsia="標楷體"/>
              </w:rPr>
              <w:t>場地之申請使用人（團體）於使用</w:t>
            </w:r>
            <w:proofErr w:type="gramStart"/>
            <w:r>
              <w:rPr>
                <w:rFonts w:eastAsia="標楷體"/>
              </w:rPr>
              <w:t>期間，</w:t>
            </w:r>
            <w:proofErr w:type="gramEnd"/>
            <w:r>
              <w:rPr>
                <w:rFonts w:eastAsia="標楷體"/>
              </w:rPr>
              <w:t>因人為損壞場地設備，應負責照價賠償。</w:t>
            </w:r>
          </w:p>
          <w:p w:rsidR="00E87532" w:rsidRDefault="008418DF">
            <w:pPr>
              <w:numPr>
                <w:ilvl w:val="2"/>
                <w:numId w:val="1"/>
              </w:numPr>
              <w:snapToGrid w:val="0"/>
              <w:ind w:left="739"/>
              <w:rPr>
                <w:rFonts w:eastAsia="標楷體"/>
              </w:rPr>
            </w:pPr>
            <w:r>
              <w:rPr>
                <w:rFonts w:eastAsia="標楷體"/>
              </w:rPr>
              <w:t>場地之申請使用人（團體）於使用場地後，應將場地復原，不得留置非屬該場地之物品於場地內，又如不遵守本辦法之規定，嗣後將不准許其使用申請。</w:t>
            </w:r>
          </w:p>
          <w:p w:rsidR="00E87532" w:rsidRDefault="008418DF">
            <w:pPr>
              <w:numPr>
                <w:ilvl w:val="2"/>
                <w:numId w:val="1"/>
              </w:numPr>
              <w:snapToGrid w:val="0"/>
              <w:ind w:left="739"/>
            </w:pPr>
            <w:r>
              <w:rPr>
                <w:rFonts w:eastAsia="標楷體"/>
                <w:b/>
                <w:color w:val="FF0000"/>
                <w:u w:val="single"/>
              </w:rPr>
              <w:t>借用場地</w:t>
            </w:r>
            <w:proofErr w:type="gramStart"/>
            <w:r>
              <w:rPr>
                <w:rFonts w:eastAsia="標楷體"/>
                <w:b/>
                <w:color w:val="FF0000"/>
                <w:u w:val="single"/>
              </w:rPr>
              <w:t>期間，</w:t>
            </w:r>
            <w:proofErr w:type="gramEnd"/>
            <w:r>
              <w:rPr>
                <w:rFonts w:eastAsia="標楷體"/>
                <w:b/>
                <w:color w:val="FF0000"/>
                <w:u w:val="single"/>
              </w:rPr>
              <w:t>不得使用危害國家資通安全產品（包含軟體、硬體及服務）。</w:t>
            </w:r>
          </w:p>
          <w:p w:rsidR="00E87532" w:rsidRDefault="00E87532">
            <w:pPr>
              <w:autoSpaceDE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32" w:rsidRDefault="008418D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六、責任規定：</w:t>
            </w:r>
          </w:p>
          <w:p w:rsidR="00E87532" w:rsidRDefault="008418DF">
            <w:pPr>
              <w:numPr>
                <w:ilvl w:val="0"/>
                <w:numId w:val="2"/>
              </w:numPr>
              <w:snapToGrid w:val="0"/>
              <w:ind w:left="744"/>
              <w:rPr>
                <w:rFonts w:eastAsia="標楷體"/>
              </w:rPr>
            </w:pPr>
            <w:r>
              <w:rPr>
                <w:rFonts w:eastAsia="標楷體"/>
              </w:rPr>
              <w:t>場地之申請使用人（團體）於使用</w:t>
            </w:r>
            <w:proofErr w:type="gramStart"/>
            <w:r>
              <w:rPr>
                <w:rFonts w:eastAsia="標楷體"/>
              </w:rPr>
              <w:t>期間，</w:t>
            </w:r>
            <w:proofErr w:type="gramEnd"/>
            <w:r>
              <w:rPr>
                <w:rFonts w:eastAsia="標楷體"/>
              </w:rPr>
              <w:t>因人為損壞場地設備，應負責照價賠償。</w:t>
            </w:r>
          </w:p>
          <w:p w:rsidR="00E87532" w:rsidRDefault="008418DF">
            <w:pPr>
              <w:numPr>
                <w:ilvl w:val="0"/>
                <w:numId w:val="2"/>
              </w:numPr>
              <w:snapToGrid w:val="0"/>
              <w:ind w:left="744"/>
              <w:rPr>
                <w:rFonts w:eastAsia="標楷體"/>
              </w:rPr>
            </w:pPr>
            <w:r>
              <w:rPr>
                <w:rFonts w:eastAsia="標楷體"/>
              </w:rPr>
              <w:t>場地之申請使用人（團體）於使用場地後，應將場地復原，不得留置非屬該場地之物品於場地內，又如不遵守本辦法之規定，嗣後將不准許其使用申請。</w:t>
            </w:r>
          </w:p>
          <w:p w:rsidR="00E87532" w:rsidRDefault="00E87532">
            <w:pPr>
              <w:autoSpaceDE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32" w:rsidRDefault="008418DF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新增條文。</w:t>
            </w:r>
          </w:p>
          <w:p w:rsidR="00E87532" w:rsidRDefault="008418DF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依資訊處</w:t>
            </w:r>
            <w:r>
              <w:rPr>
                <w:rFonts w:eastAsia="標楷體"/>
                <w:sz w:val="22"/>
                <w:szCs w:val="22"/>
              </w:rPr>
              <w:t>112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13</w:t>
            </w:r>
            <w:r>
              <w:rPr>
                <w:rFonts w:eastAsia="標楷體"/>
                <w:sz w:val="22"/>
                <w:szCs w:val="22"/>
              </w:rPr>
              <w:t>日信件通知：轉教育部</w:t>
            </w:r>
            <w:r>
              <w:rPr>
                <w:rFonts w:eastAsia="標楷體"/>
                <w:sz w:val="22"/>
                <w:szCs w:val="22"/>
              </w:rPr>
              <w:t>111</w:t>
            </w:r>
            <w:r>
              <w:rPr>
                <w:rFonts w:eastAsia="標楷體"/>
                <w:sz w:val="22"/>
                <w:szCs w:val="22"/>
              </w:rPr>
              <w:t>年全國大專校</w:t>
            </w:r>
            <w:proofErr w:type="gramStart"/>
            <w:r>
              <w:rPr>
                <w:rFonts w:eastAsia="標楷體"/>
                <w:sz w:val="22"/>
                <w:szCs w:val="22"/>
              </w:rPr>
              <w:t>院資安長</w:t>
            </w:r>
            <w:proofErr w:type="gramEnd"/>
            <w:r>
              <w:rPr>
                <w:rFonts w:eastAsia="標楷體"/>
                <w:sz w:val="22"/>
                <w:szCs w:val="22"/>
              </w:rPr>
              <w:t>會議紀錄辦理：增加禁用危害國家資通安全產品條文。</w:t>
            </w:r>
          </w:p>
        </w:tc>
      </w:tr>
    </w:tbl>
    <w:p w:rsidR="00E87532" w:rsidRDefault="00E87532">
      <w:pPr>
        <w:jc w:val="center"/>
        <w:rPr>
          <w:rFonts w:ascii="標楷體" w:eastAsia="標楷體" w:hAnsi="標楷體"/>
          <w:b/>
          <w:sz w:val="32"/>
        </w:rPr>
      </w:pPr>
    </w:p>
    <w:p w:rsidR="00E87532" w:rsidRDefault="008418DF">
      <w:pPr>
        <w:pageBreakBefore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lastRenderedPageBreak/>
        <w:t>電機系與通訊系空間出借收費辦法</w:t>
      </w:r>
    </w:p>
    <w:p w:rsidR="00E87532" w:rsidRDefault="008418DF">
      <w:pPr>
        <w:wordWrap w:val="0"/>
        <w:ind w:right="160" w:firstLine="3520"/>
        <w:jc w:val="righ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>99/12/8</w:t>
      </w:r>
      <w:r>
        <w:rPr>
          <w:rFonts w:ascii="標楷體" w:eastAsia="標楷體" w:hAnsi="標楷體"/>
        </w:rPr>
        <w:t>年第三次空間委員會討論</w:t>
      </w:r>
    </w:p>
    <w:p w:rsidR="00E87532" w:rsidRDefault="008418DF">
      <w:pPr>
        <w:ind w:right="160" w:firstLine="26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學年度第二次空間委員會通過</w:t>
      </w:r>
    </w:p>
    <w:p w:rsidR="00E87532" w:rsidRDefault="008418DF">
      <w:pPr>
        <w:ind w:right="160" w:firstLine="198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107</w:t>
      </w:r>
      <w:r>
        <w:rPr>
          <w:rFonts w:ascii="標楷體" w:eastAsia="標楷體" w:hAnsi="標楷體"/>
        </w:rPr>
        <w:t>學年度第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次電機系與通訊系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會議修正後通過</w:t>
      </w:r>
    </w:p>
    <w:p w:rsidR="00E87532" w:rsidRDefault="008418DF">
      <w:pPr>
        <w:ind w:right="160" w:firstLine="2640"/>
        <w:jc w:val="right"/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學年度第二次空間委員會通過</w:t>
      </w:r>
    </w:p>
    <w:p w:rsidR="00E87532" w:rsidRDefault="008418DF">
      <w:pPr>
        <w:ind w:right="160" w:firstLine="26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日電機系與通訊系聯合系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會議通過</w:t>
      </w:r>
    </w:p>
    <w:p w:rsidR="00E87532" w:rsidRDefault="00E87532">
      <w:pPr>
        <w:ind w:right="160" w:firstLine="2640"/>
        <w:jc w:val="right"/>
        <w:rPr>
          <w:rFonts w:ascii="標楷體" w:eastAsia="標楷體" w:hAnsi="標楷體"/>
        </w:rPr>
      </w:pPr>
    </w:p>
    <w:p w:rsidR="00E87532" w:rsidRDefault="008418DF">
      <w:pPr>
        <w:numPr>
          <w:ilvl w:val="0"/>
          <w:numId w:val="4"/>
        </w:numPr>
        <w:snapToGrid w:val="0"/>
        <w:ind w:left="709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為使電機系與通訊系場地設施之使用便於登記、管理及維護，出借空間給本校其他單位使用得收場地使用費。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場地以電機系及通訊系優先使用為原則，其他單位申請使用時，限使用於非政治性之學術演講、會議或相關活動，如有違上述規定者，不提供使用。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使用時間：上午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/>
          <w:sz w:val="28"/>
        </w:rPr>
        <w:t>時至下午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時。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申請程序：場地借用得在借用日期一星期前向本系提出申請（申請單如附件）。</w:t>
      </w:r>
      <w:proofErr w:type="gramStart"/>
      <w:r>
        <w:rPr>
          <w:rFonts w:ascii="標楷體" w:eastAsia="標楷體" w:hAnsi="標楷體"/>
          <w:sz w:val="28"/>
        </w:rPr>
        <w:t>本系得依</w:t>
      </w:r>
      <w:proofErr w:type="gramEnd"/>
      <w:r>
        <w:rPr>
          <w:rFonts w:ascii="標楷體" w:eastAsia="標楷體" w:hAnsi="標楷體"/>
          <w:sz w:val="28"/>
        </w:rPr>
        <w:t>空間使用狀況，決定是否出借場地。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收費規定及標準：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校內各單位奉核准舉辦未收報名費之有關業務、研習會、展覽等活動，免收場地使用費。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校內各單位舉辦收報名費之有關業務、研習會</w:t>
      </w:r>
      <w:r>
        <w:rPr>
          <w:rFonts w:eastAsia="標楷體"/>
          <w:sz w:val="28"/>
        </w:rPr>
        <w:t>、展覽等活動，得收場地使用費。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校內各單位借用場地有接受政府機關及社團等單位補助經費者，舉辦會議、展覽等活動，應繳納二分之一場地使用費。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場地使用收入費用，除供繳納水電費外，應作維護設備之用。</w:t>
      </w:r>
    </w:p>
    <w:p w:rsidR="00E87532" w:rsidRDefault="008418DF">
      <w:pPr>
        <w:numPr>
          <w:ilvl w:val="2"/>
          <w:numId w:val="4"/>
        </w:num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計費標準以每坪每小時為單位。每單位計價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/>
          <w:sz w:val="28"/>
        </w:rPr>
        <w:t>元。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責任規定：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場地之申請使用人（團體）於使用</w:t>
      </w:r>
      <w:proofErr w:type="gramStart"/>
      <w:r>
        <w:rPr>
          <w:rFonts w:eastAsia="標楷體"/>
          <w:sz w:val="28"/>
        </w:rPr>
        <w:t>期間，</w:t>
      </w:r>
      <w:proofErr w:type="gramEnd"/>
      <w:r>
        <w:rPr>
          <w:rFonts w:eastAsia="標楷體"/>
          <w:sz w:val="28"/>
        </w:rPr>
        <w:t>因人為損壞場地設備，應負責照價賠償。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eastAsia="標楷體"/>
          <w:sz w:val="28"/>
        </w:rPr>
        <w:t>場地之申請使用人（團體）於使用場地後，應將場地復原，不得留置非屬該場地之物品於場地內，又如不遵守本辦法之規定，嗣後將不准許其使用申請。</w:t>
      </w:r>
    </w:p>
    <w:p w:rsidR="00E87532" w:rsidRDefault="008418DF">
      <w:pPr>
        <w:numPr>
          <w:ilvl w:val="2"/>
          <w:numId w:val="4"/>
        </w:numPr>
        <w:snapToGrid w:val="0"/>
      </w:pPr>
      <w:r>
        <w:rPr>
          <w:rFonts w:ascii="標楷體" w:eastAsia="標楷體" w:hAnsi="標楷體"/>
          <w:b/>
          <w:color w:val="FF0000"/>
          <w:sz w:val="28"/>
          <w:u w:val="single"/>
        </w:rPr>
        <w:t>借用場地</w:t>
      </w:r>
      <w:proofErr w:type="gramStart"/>
      <w:r>
        <w:rPr>
          <w:rFonts w:ascii="標楷體" w:eastAsia="標楷體" w:hAnsi="標楷體"/>
          <w:b/>
          <w:color w:val="FF0000"/>
          <w:sz w:val="28"/>
          <w:u w:val="single"/>
        </w:rPr>
        <w:t>期間，</w:t>
      </w:r>
      <w:proofErr w:type="gramEnd"/>
      <w:r>
        <w:rPr>
          <w:rFonts w:ascii="標楷體" w:eastAsia="標楷體" w:hAnsi="標楷體"/>
          <w:b/>
          <w:color w:val="FF0000"/>
          <w:sz w:val="28"/>
          <w:u w:val="single"/>
        </w:rPr>
        <w:t>不得使用危害國家資通安全產品（包含</w:t>
      </w:r>
      <w:r>
        <w:rPr>
          <w:rFonts w:ascii="標楷體" w:eastAsia="標楷體" w:hAnsi="標楷體"/>
          <w:b/>
          <w:color w:val="FF0000"/>
          <w:sz w:val="28"/>
          <w:u w:val="single"/>
        </w:rPr>
        <w:t>軟體、硬體及服務）。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本系有重大活動之特殊需要，必須收回場地時，得通知申請人（團體）改期，如無法改期者，無息退還已繳納之費用，申請人（團體）不得異議及請求賠償。</w:t>
      </w:r>
    </w:p>
    <w:p w:rsidR="00E87532" w:rsidRDefault="008418DF">
      <w:pPr>
        <w:numPr>
          <w:ilvl w:val="0"/>
          <w:numId w:val="4"/>
        </w:numPr>
        <w:tabs>
          <w:tab w:val="left" w:pos="480"/>
        </w:tabs>
        <w:snapToGrid w:val="0"/>
        <w:ind w:left="720" w:hanging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本辦法經電機系與通訊系聯合系</w:t>
      </w:r>
      <w:proofErr w:type="gramStart"/>
      <w:r>
        <w:rPr>
          <w:rFonts w:ascii="標楷體" w:eastAsia="標楷體" w:hAnsi="標楷體"/>
          <w:sz w:val="28"/>
        </w:rPr>
        <w:t>務</w:t>
      </w:r>
      <w:proofErr w:type="gramEnd"/>
      <w:r>
        <w:rPr>
          <w:rFonts w:ascii="標楷體" w:eastAsia="標楷體" w:hAnsi="標楷體"/>
          <w:sz w:val="28"/>
        </w:rPr>
        <w:t>會議通過及院務會議核備後公布實施，修正時亦同。</w:t>
      </w:r>
    </w:p>
    <w:p w:rsidR="00E87532" w:rsidRDefault="008418DF">
      <w:pPr>
        <w:pageBreakBefore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 xml:space="preserve"> </w:t>
      </w:r>
      <w:r>
        <w:rPr>
          <w:rFonts w:ascii="標楷體" w:eastAsia="標楷體" w:hAnsi="標楷體"/>
          <w:sz w:val="40"/>
          <w:szCs w:val="40"/>
        </w:rPr>
        <w:t>空間出借申請表</w:t>
      </w:r>
    </w:p>
    <w:tbl>
      <w:tblPr>
        <w:tblW w:w="10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1134"/>
        <w:gridCol w:w="1376"/>
        <w:gridCol w:w="1440"/>
        <w:gridCol w:w="19"/>
        <w:gridCol w:w="1985"/>
        <w:gridCol w:w="2882"/>
      </w:tblGrid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　請　人</w:t>
            </w:r>
          </w:p>
        </w:tc>
        <w:tc>
          <w:tcPr>
            <w:tcW w:w="28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申請單位主管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借用空間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創新</w:t>
            </w:r>
            <w:r>
              <w:rPr>
                <w:rFonts w:eastAsia="標楷體"/>
                <w:sz w:val="26"/>
                <w:szCs w:val="26"/>
              </w:rPr>
              <w:t>101</w:t>
            </w:r>
            <w:r>
              <w:rPr>
                <w:rFonts w:eastAsia="標楷體"/>
                <w:sz w:val="26"/>
                <w:szCs w:val="26"/>
              </w:rPr>
              <w:t>教室</w:t>
            </w:r>
            <w:r>
              <w:rPr>
                <w:rFonts w:ascii="標楷體" w:eastAsia="標楷體" w:hAnsi="標楷體"/>
                <w:szCs w:val="26"/>
              </w:rPr>
              <w:t>(21.85</w:t>
            </w:r>
            <w:r>
              <w:rPr>
                <w:rFonts w:ascii="標楷體" w:eastAsia="標楷體" w:hAnsi="標楷體"/>
                <w:szCs w:val="26"/>
              </w:rPr>
              <w:t>坪</w:t>
            </w:r>
            <w:r>
              <w:rPr>
                <w:rFonts w:ascii="標楷體" w:eastAsia="標楷體" w:hAnsi="標楷體"/>
                <w:szCs w:val="26"/>
              </w:rPr>
              <w:t>--55</w:t>
            </w:r>
            <w:r>
              <w:rPr>
                <w:rFonts w:ascii="標楷體" w:eastAsia="標楷體" w:hAnsi="標楷體"/>
                <w:szCs w:val="26"/>
              </w:rPr>
              <w:t>人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E87532" w:rsidRDefault="008418DF">
            <w:pPr>
              <w:spacing w:line="460" w:lineRule="exact"/>
              <w:ind w:left="11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創新</w:t>
            </w:r>
            <w:r>
              <w:rPr>
                <w:rFonts w:ascii="標楷體" w:eastAsia="標楷體" w:hAnsi="標楷體"/>
                <w:sz w:val="26"/>
                <w:szCs w:val="26"/>
              </w:rPr>
              <w:t>102</w:t>
            </w:r>
            <w:r>
              <w:rPr>
                <w:rFonts w:ascii="標楷體" w:eastAsia="標楷體" w:hAnsi="標楷體"/>
                <w:sz w:val="26"/>
                <w:szCs w:val="26"/>
              </w:rPr>
              <w:t>教室</w:t>
            </w:r>
            <w:r>
              <w:rPr>
                <w:rFonts w:ascii="標楷體" w:eastAsia="標楷體" w:hAnsi="標楷體"/>
                <w:szCs w:val="26"/>
              </w:rPr>
              <w:t>(44.77</w:t>
            </w:r>
            <w:r>
              <w:rPr>
                <w:rFonts w:ascii="標楷體" w:eastAsia="標楷體" w:hAnsi="標楷體"/>
                <w:szCs w:val="26"/>
              </w:rPr>
              <w:t>坪</w:t>
            </w:r>
            <w:r>
              <w:rPr>
                <w:rFonts w:ascii="標楷體" w:eastAsia="標楷體" w:hAnsi="標楷體"/>
                <w:szCs w:val="26"/>
              </w:rPr>
              <w:t>--100</w:t>
            </w:r>
            <w:r>
              <w:rPr>
                <w:rFonts w:ascii="標楷體" w:eastAsia="標楷體" w:hAnsi="標楷體"/>
                <w:szCs w:val="26"/>
              </w:rPr>
              <w:t>人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E87532" w:rsidRDefault="008418DF">
            <w:pPr>
              <w:spacing w:line="460" w:lineRule="exact"/>
              <w:ind w:left="11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創新</w:t>
            </w:r>
            <w:r>
              <w:rPr>
                <w:rFonts w:ascii="標楷體" w:eastAsia="標楷體" w:hAnsi="標楷體"/>
                <w:sz w:val="26"/>
                <w:szCs w:val="26"/>
              </w:rPr>
              <w:t>103</w:t>
            </w:r>
            <w:r>
              <w:rPr>
                <w:rFonts w:ascii="標楷體" w:eastAsia="標楷體" w:hAnsi="標楷體"/>
                <w:sz w:val="26"/>
                <w:szCs w:val="26"/>
              </w:rPr>
              <w:t>教室</w:t>
            </w:r>
            <w:r>
              <w:rPr>
                <w:rFonts w:ascii="標楷體" w:eastAsia="標楷體" w:hAnsi="標楷體"/>
                <w:szCs w:val="26"/>
              </w:rPr>
              <w:t>(21.91</w:t>
            </w:r>
            <w:r>
              <w:rPr>
                <w:rFonts w:ascii="標楷體" w:eastAsia="標楷體" w:hAnsi="標楷體"/>
                <w:szCs w:val="26"/>
              </w:rPr>
              <w:t>坪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—</w:t>
            </w:r>
            <w:proofErr w:type="gramEnd"/>
            <w:r>
              <w:rPr>
                <w:rFonts w:ascii="標楷體" w:eastAsia="標楷體" w:hAnsi="標楷體"/>
                <w:szCs w:val="26"/>
              </w:rPr>
              <w:t>60</w:t>
            </w:r>
            <w:r>
              <w:rPr>
                <w:rFonts w:ascii="標楷體" w:eastAsia="標楷體" w:hAnsi="標楷體"/>
                <w:szCs w:val="26"/>
              </w:rPr>
              <w:t>人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E87532" w:rsidRDefault="008418DF">
            <w:pPr>
              <w:spacing w:line="460" w:lineRule="exact"/>
              <w:ind w:left="11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創新</w:t>
            </w:r>
            <w:r>
              <w:rPr>
                <w:rFonts w:ascii="標楷體" w:eastAsia="標楷體" w:hAnsi="標楷體"/>
                <w:sz w:val="26"/>
                <w:szCs w:val="26"/>
              </w:rPr>
              <w:t>453</w:t>
            </w:r>
            <w:r>
              <w:rPr>
                <w:rFonts w:ascii="標楷體" w:eastAsia="標楷體" w:hAnsi="標楷體"/>
                <w:sz w:val="26"/>
                <w:szCs w:val="26"/>
              </w:rPr>
              <w:t>系圖書室</w:t>
            </w:r>
            <w:r>
              <w:rPr>
                <w:rFonts w:ascii="標楷體" w:eastAsia="標楷體" w:hAnsi="標楷體"/>
                <w:sz w:val="26"/>
                <w:szCs w:val="26"/>
              </w:rPr>
              <w:t>(33.44</w:t>
            </w:r>
            <w:r>
              <w:rPr>
                <w:rFonts w:ascii="標楷體" w:eastAsia="標楷體" w:hAnsi="標楷體"/>
                <w:sz w:val="26"/>
                <w:szCs w:val="26"/>
              </w:rPr>
              <w:t>坪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87532" w:rsidRDefault="008418DF">
            <w:pPr>
              <w:spacing w:line="460" w:lineRule="exact"/>
              <w:ind w:left="11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費用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532" w:rsidRDefault="008418D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借用期間</w:t>
            </w:r>
          </w:p>
        </w:tc>
        <w:tc>
          <w:tcPr>
            <w:tcW w:w="8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wordWrap w:val="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止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1133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</w:t>
            </w:r>
          </w:p>
          <w:p w:rsidR="00E87532" w:rsidRDefault="008418DF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動</w:t>
            </w:r>
          </w:p>
          <w:p w:rsidR="00E87532" w:rsidRDefault="008418DF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</w:t>
            </w:r>
          </w:p>
          <w:p w:rsidR="00E87532" w:rsidRDefault="008418DF">
            <w:pPr>
              <w:snapToGrid w:val="0"/>
              <w:spacing w:before="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開會</w:t>
            </w:r>
          </w:p>
        </w:tc>
        <w:tc>
          <w:tcPr>
            <w:tcW w:w="7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532" w:rsidRDefault="008418DF">
            <w:pPr>
              <w:spacing w:before="120" w:line="3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會議名稱：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預計人數：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  <w:p w:rsidR="00E87532" w:rsidRDefault="008418DF">
            <w:pPr>
              <w:spacing w:before="120" w:line="3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使用人：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聯絡電話：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before="16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</w:t>
            </w:r>
          </w:p>
        </w:tc>
        <w:tc>
          <w:tcPr>
            <w:tcW w:w="7702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532" w:rsidRDefault="008418DF">
            <w:pPr>
              <w:spacing w:before="120" w:line="3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活動名稱：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預計人數：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4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before="16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0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7532" w:rsidRDefault="008418DF">
            <w:pPr>
              <w:spacing w:before="120" w:line="3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使用人：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聯絡電話：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管理人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before="120" w:line="3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3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E87532">
            <w:pPr>
              <w:spacing w:line="38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0303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spacing w:line="3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注意事項</w:t>
            </w:r>
          </w:p>
        </w:tc>
      </w:tr>
      <w:tr w:rsidR="00E87532">
        <w:tblPrEx>
          <w:tblCellMar>
            <w:top w:w="0" w:type="dxa"/>
            <w:bottom w:w="0" w:type="dxa"/>
          </w:tblCellMar>
        </w:tblPrEx>
        <w:trPr>
          <w:cantSplit/>
          <w:trHeight w:val="1615"/>
          <w:jc w:val="center"/>
        </w:trPr>
        <w:tc>
          <w:tcPr>
            <w:tcW w:w="103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532" w:rsidRDefault="008418DF">
            <w:pPr>
              <w:numPr>
                <w:ilvl w:val="0"/>
                <w:numId w:val="5"/>
              </w:numPr>
              <w:snapToGrid w:val="0"/>
              <w:ind w:right="38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借用注意事項：</w:t>
            </w:r>
          </w:p>
          <w:p w:rsidR="00E87532" w:rsidRDefault="008418DF">
            <w:pPr>
              <w:numPr>
                <w:ilvl w:val="0"/>
                <w:numId w:val="6"/>
              </w:numPr>
              <w:snapToGrid w:val="0"/>
              <w:ind w:left="637" w:right="379"/>
              <w:jc w:val="both"/>
            </w:pPr>
            <w:r>
              <w:rPr>
                <w:rFonts w:eastAsia="標楷體"/>
                <w:sz w:val="22"/>
                <w:szCs w:val="22"/>
              </w:rPr>
              <w:t>空間內設備於使用結束後須歸於原處並點交管理單位，若有損壞，</w:t>
            </w:r>
            <w:r>
              <w:rPr>
                <w:rFonts w:eastAsia="標楷體"/>
                <w:sz w:val="22"/>
                <w:szCs w:val="22"/>
                <w:u w:val="single"/>
              </w:rPr>
              <w:t>借用單位須付修護責任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  <w:p w:rsidR="00E87532" w:rsidRDefault="008418DF">
            <w:pPr>
              <w:numPr>
                <w:ilvl w:val="0"/>
                <w:numId w:val="6"/>
              </w:numPr>
              <w:snapToGrid w:val="0"/>
              <w:ind w:left="637" w:right="379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借用單位於使用場地後，應將場地復原，不得留置非屬該場地之物品於場地內，垃圾請自行清理，如不遵守本辦法之規定，嗣後將不准許其使用申請。</w:t>
            </w:r>
          </w:p>
          <w:p w:rsidR="00E87532" w:rsidRDefault="008418DF">
            <w:pPr>
              <w:numPr>
                <w:ilvl w:val="0"/>
                <w:numId w:val="6"/>
              </w:numPr>
              <w:snapToGrid w:val="0"/>
              <w:ind w:left="637" w:right="379"/>
              <w:jc w:val="both"/>
            </w:pPr>
            <w:r>
              <w:rPr>
                <w:rFonts w:eastAsia="標楷體"/>
                <w:sz w:val="22"/>
                <w:szCs w:val="22"/>
              </w:rPr>
              <w:t>鑰匙應於</w:t>
            </w:r>
            <w:r>
              <w:rPr>
                <w:rFonts w:eastAsia="標楷體"/>
                <w:sz w:val="22"/>
                <w:szCs w:val="22"/>
                <w:u w:val="wave"/>
              </w:rPr>
              <w:t>使用後立即歸還</w:t>
            </w:r>
            <w:r>
              <w:rPr>
                <w:rFonts w:eastAsia="標楷體"/>
                <w:sz w:val="22"/>
                <w:szCs w:val="22"/>
              </w:rPr>
              <w:t>。詳細歸還辦法，請洽電機系與通訊系辦理。其餘借用之設備（鑰匙除外）最遲應於活動（課程）結束之</w:t>
            </w:r>
            <w:r>
              <w:rPr>
                <w:rFonts w:eastAsia="標楷體"/>
                <w:sz w:val="22"/>
                <w:szCs w:val="22"/>
                <w:u w:val="wave"/>
              </w:rPr>
              <w:t>隔日上午</w:t>
            </w:r>
            <w:r>
              <w:rPr>
                <w:rFonts w:eastAsia="標楷體"/>
                <w:sz w:val="22"/>
                <w:szCs w:val="22"/>
                <w:u w:val="wave"/>
              </w:rPr>
              <w:t>8:30</w:t>
            </w:r>
            <w:r>
              <w:rPr>
                <w:rFonts w:eastAsia="標楷體"/>
                <w:sz w:val="22"/>
                <w:szCs w:val="22"/>
                <w:u w:val="wave"/>
              </w:rPr>
              <w:t>前</w:t>
            </w:r>
            <w:r>
              <w:rPr>
                <w:rFonts w:eastAsia="標楷體"/>
                <w:sz w:val="22"/>
                <w:szCs w:val="22"/>
              </w:rPr>
              <w:t>送回系辦公室。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若遇假日則順延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E87532" w:rsidRDefault="008418DF">
            <w:pPr>
              <w:numPr>
                <w:ilvl w:val="0"/>
                <w:numId w:val="6"/>
              </w:numPr>
              <w:snapToGrid w:val="0"/>
              <w:ind w:left="637" w:right="379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對於違反上述規定者，將列入紀錄不再借予使用。</w:t>
            </w:r>
          </w:p>
          <w:p w:rsidR="00E87532" w:rsidRDefault="008418DF">
            <w:pPr>
              <w:numPr>
                <w:ilvl w:val="0"/>
                <w:numId w:val="6"/>
              </w:numPr>
              <w:snapToGrid w:val="0"/>
              <w:ind w:left="637"/>
            </w:pPr>
            <w:proofErr w:type="gramStart"/>
            <w:r>
              <w:rPr>
                <w:rFonts w:eastAsia="標楷體"/>
                <w:sz w:val="22"/>
                <w:szCs w:val="22"/>
              </w:rPr>
              <w:t>本系得收押</w:t>
            </w:r>
            <w:proofErr w:type="gramEnd"/>
            <w:r>
              <w:rPr>
                <w:rFonts w:eastAsia="標楷體"/>
                <w:sz w:val="22"/>
                <w:szCs w:val="22"/>
              </w:rPr>
              <w:t>金</w:t>
            </w:r>
            <w:r>
              <w:rPr>
                <w:rFonts w:eastAsia="標楷體"/>
                <w:sz w:val="22"/>
                <w:szCs w:val="22"/>
              </w:rPr>
              <w:t>5,000</w:t>
            </w:r>
            <w:r>
              <w:rPr>
                <w:rFonts w:eastAsia="標楷體"/>
                <w:sz w:val="22"/>
                <w:szCs w:val="22"/>
              </w:rPr>
              <w:t>元（天／間）。申請使用人完成以上復原程序後得退還押金。</w:t>
            </w:r>
          </w:p>
        </w:tc>
      </w:tr>
    </w:tbl>
    <w:p w:rsidR="00E87532" w:rsidRDefault="008418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-179066</wp:posOffset>
                </wp:positionH>
                <wp:positionV relativeFrom="paragraph">
                  <wp:posOffset>137160</wp:posOffset>
                </wp:positionV>
                <wp:extent cx="6438892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892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custDash>
                            <a:ds d="300063" sp="30006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241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14.1pt;margin-top:10.8pt;width:507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" strokeweight=".52906mm">
                <v:stroke joinstyle="miter"/>
              </v:shape>
            </w:pict>
          </mc:Fallback>
        </mc:AlternateContent>
      </w:r>
    </w:p>
    <w:p w:rsidR="00E87532" w:rsidRDefault="008418DF">
      <w:pPr>
        <w:jc w:val="center"/>
        <w:rPr>
          <w:rFonts w:eastAsia="標楷體"/>
          <w:b/>
        </w:rPr>
      </w:pPr>
      <w:r>
        <w:rPr>
          <w:rFonts w:eastAsia="標楷體"/>
          <w:b/>
        </w:rPr>
        <w:t>空間出借收取押金證明單</w:t>
      </w:r>
    </w:p>
    <w:p w:rsidR="00E87532" w:rsidRDefault="008418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2447921</wp:posOffset>
                </wp:positionH>
                <wp:positionV relativeFrom="paragraph">
                  <wp:posOffset>137160</wp:posOffset>
                </wp:positionV>
                <wp:extent cx="1847846" cy="542925"/>
                <wp:effectExtent l="0" t="0" r="19054" b="28575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46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87532" w:rsidRDefault="008418DF">
                            <w:pPr>
                              <w:ind w:left="480" w:hanging="480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至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92.75pt;margin-top:10.8pt;width:145.5pt;height:42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" strokecolor="white" strokeweight=".17625mm">
                <v:textbox>
                  <w:txbxContent>
                    <w:p w:rsidR="00E87532" w:rsidRDefault="008418DF">
                      <w:pPr>
                        <w:ind w:left="480" w:hanging="480"/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至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E87532" w:rsidRDefault="008418DF">
      <w:r>
        <w:rPr>
          <w:rFonts w:eastAsia="標楷體"/>
          <w:b/>
        </w:rPr>
        <w:t>借用單位：</w:t>
      </w:r>
      <w:r>
        <w:rPr>
          <w:rFonts w:eastAsia="標楷體"/>
          <w:u w:val="single"/>
        </w:rPr>
        <w:t xml:space="preserve">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時間：</w:t>
      </w:r>
      <w:r>
        <w:rPr>
          <w:rFonts w:eastAsia="標楷體"/>
          <w:b/>
        </w:rPr>
        <w:t xml:space="preserve">                         </w:t>
      </w:r>
      <w:r>
        <w:rPr>
          <w:rFonts w:eastAsia="標楷體"/>
          <w:b/>
        </w:rPr>
        <w:t>用途：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</w:t>
      </w:r>
    </w:p>
    <w:p w:rsidR="00E87532" w:rsidRDefault="00E87532">
      <w:pPr>
        <w:rPr>
          <w:rFonts w:eastAsia="標楷體"/>
          <w:b/>
        </w:rPr>
      </w:pPr>
    </w:p>
    <w:p w:rsidR="00E87532" w:rsidRDefault="008418DF">
      <w:r>
        <w:rPr>
          <w:rFonts w:eastAsia="標楷體"/>
          <w:b/>
        </w:rPr>
        <w:t>借用空間：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  <w:b/>
        </w:rPr>
        <w:t xml:space="preserve">    </w:t>
      </w:r>
      <w:r>
        <w:rPr>
          <w:rFonts w:eastAsia="標楷體"/>
          <w:b/>
        </w:rPr>
        <w:t>押金：</w:t>
      </w:r>
      <w:r>
        <w:rPr>
          <w:rFonts w:eastAsia="標楷體"/>
          <w:u w:val="single"/>
        </w:rPr>
        <w:t xml:space="preserve">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元</w:t>
      </w:r>
      <w:r>
        <w:rPr>
          <w:rFonts w:eastAsia="標楷體"/>
          <w:b/>
        </w:rPr>
        <w:t xml:space="preserve"> (5,</w:t>
      </w:r>
      <w:r>
        <w:rPr>
          <w:rFonts w:eastAsia="標楷體"/>
          <w:b/>
        </w:rPr>
        <w:t>000</w:t>
      </w:r>
      <w:r>
        <w:rPr>
          <w:rFonts w:eastAsia="標楷體"/>
          <w:b/>
        </w:rPr>
        <w:t>元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天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間</w:t>
      </w:r>
      <w:r>
        <w:rPr>
          <w:rFonts w:eastAsia="標楷體"/>
          <w:b/>
        </w:rPr>
        <w:t>)</w:t>
      </w:r>
    </w:p>
    <w:p w:rsidR="00E87532" w:rsidRDefault="00E87532">
      <w:pPr>
        <w:rPr>
          <w:rFonts w:eastAsia="標楷體"/>
          <w:b/>
        </w:rPr>
      </w:pPr>
    </w:p>
    <w:p w:rsidR="00E87532" w:rsidRDefault="008418DF">
      <w:r>
        <w:rPr>
          <w:b/>
        </w:rPr>
        <w:t>*</w:t>
      </w:r>
      <w:r>
        <w:rPr>
          <w:rFonts w:eastAsia="標楷體"/>
          <w:b/>
        </w:rPr>
        <w:t>於借用單位完成復原程序後，得退還押金</w:t>
      </w:r>
      <w:r>
        <w:rPr>
          <w:rFonts w:eastAsia="標楷體"/>
        </w:rPr>
        <w:t>。</w:t>
      </w:r>
      <w:r>
        <w:rPr>
          <w:rFonts w:eastAsia="標楷體"/>
        </w:rPr>
        <w:t xml:space="preserve">         </w:t>
      </w:r>
      <w:r>
        <w:rPr>
          <w:rFonts w:eastAsia="標楷體"/>
          <w:b/>
        </w:rPr>
        <w:t>押金</w:t>
      </w:r>
      <w:proofErr w:type="gramStart"/>
      <w:r>
        <w:rPr>
          <w:rFonts w:eastAsia="標楷體"/>
          <w:b/>
        </w:rPr>
        <w:t>退還簽領人</w:t>
      </w:r>
      <w:proofErr w:type="gramEnd"/>
      <w:r>
        <w:rPr>
          <w:rFonts w:eastAsia="標楷體"/>
          <w:b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</w:t>
      </w:r>
    </w:p>
    <w:sectPr w:rsidR="00E87532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DF" w:rsidRDefault="008418DF">
      <w:r>
        <w:separator/>
      </w:r>
    </w:p>
  </w:endnote>
  <w:endnote w:type="continuationSeparator" w:id="0">
    <w:p w:rsidR="008418DF" w:rsidRDefault="0084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DF" w:rsidRDefault="008418DF">
      <w:r>
        <w:rPr>
          <w:color w:val="000000"/>
        </w:rPr>
        <w:separator/>
      </w:r>
    </w:p>
  </w:footnote>
  <w:footnote w:type="continuationSeparator" w:id="0">
    <w:p w:rsidR="008418DF" w:rsidRDefault="0084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33442"/>
    <w:multiLevelType w:val="multilevel"/>
    <w:tmpl w:val="1902B2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(%3）"/>
      <w:lvlJc w:val="left"/>
      <w:pPr>
        <w:ind w:left="1770" w:hanging="81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C1321"/>
    <w:multiLevelType w:val="multilevel"/>
    <w:tmpl w:val="FADECE16"/>
    <w:lvl w:ilvl="0">
      <w:start w:val="1"/>
      <w:numFmt w:val="decimal"/>
      <w:lvlText w:val="%1."/>
      <w:lvlJc w:val="left"/>
      <w:pPr>
        <w:ind w:left="397" w:hanging="28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39506B"/>
    <w:multiLevelType w:val="multilevel"/>
    <w:tmpl w:val="A34E6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633D0C"/>
    <w:multiLevelType w:val="multilevel"/>
    <w:tmpl w:val="5914AE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(%3）"/>
      <w:lvlJc w:val="left"/>
      <w:pPr>
        <w:ind w:left="1770" w:hanging="81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7051E"/>
    <w:multiLevelType w:val="multilevel"/>
    <w:tmpl w:val="19289A90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79092F62"/>
    <w:multiLevelType w:val="multilevel"/>
    <w:tmpl w:val="0D3CF6EC"/>
    <w:lvl w:ilvl="0">
      <w:start w:val="1"/>
      <w:numFmt w:val="taiwaneseCountingThousand"/>
      <w:lvlText w:val="(%1）"/>
      <w:lvlJc w:val="left"/>
      <w:pPr>
        <w:ind w:left="177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7532"/>
    <w:rsid w:val="008418DF"/>
    <w:rsid w:val="00D81B85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F9D95-B0C7-4512-BA8F-B1AAC89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EA422 實驗室收費標準</dc:title>
  <dc:subject/>
  <dc:creator>User</dc:creator>
  <dc:description/>
  <cp:lastModifiedBy>ASUS</cp:lastModifiedBy>
  <cp:revision>2</cp:revision>
  <cp:lastPrinted>2019-04-10T04:11:00Z</cp:lastPrinted>
  <dcterms:created xsi:type="dcterms:W3CDTF">2024-04-11T03:43:00Z</dcterms:created>
  <dcterms:modified xsi:type="dcterms:W3CDTF">2024-04-11T03:43:00Z</dcterms:modified>
</cp:coreProperties>
</file>